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EA9577" w14:textId="77777777" w:rsidR="0069547C" w:rsidRDefault="0069547C" w:rsidP="0069547C">
      <w:pPr>
        <w:jc w:val="center"/>
        <w:rPr>
          <w:rFonts w:ascii="Palatino Linotype" w:hAnsi="Palatino Linotype"/>
          <w:b/>
          <w:color w:val="2F5496"/>
          <w:sz w:val="40"/>
          <w:szCs w:val="40"/>
        </w:rPr>
      </w:pPr>
      <w:bookmarkStart w:id="0" w:name="_GoBack"/>
      <w:bookmarkEnd w:id="0"/>
      <w:r>
        <w:rPr>
          <w:rFonts w:ascii="Palatino Linotype" w:hAnsi="Palatino Linotype"/>
          <w:b/>
          <w:color w:val="2F5496"/>
          <w:sz w:val="40"/>
          <w:szCs w:val="40"/>
        </w:rPr>
        <w:t>SAMPLE POSTS</w:t>
      </w:r>
    </w:p>
    <w:p w14:paraId="4D749985" w14:textId="77777777" w:rsidR="0069547C" w:rsidRPr="0069547C" w:rsidRDefault="0069547C" w:rsidP="0069547C">
      <w:pPr>
        <w:jc w:val="center"/>
        <w:rPr>
          <w:rFonts w:ascii="Palatino Linotype" w:hAnsi="Palatino Linotype"/>
          <w:b/>
          <w:color w:val="2F5496"/>
          <w:szCs w:val="24"/>
        </w:rPr>
      </w:pPr>
      <w:r>
        <w:rPr>
          <w:rFonts w:ascii="Palatino Linotype" w:hAnsi="Palatino Linotype"/>
          <w:b/>
          <w:color w:val="2F5496"/>
          <w:szCs w:val="24"/>
        </w:rPr>
        <w:t>(2 posts are required for each module)</w:t>
      </w:r>
    </w:p>
    <w:p w14:paraId="0D32725D" w14:textId="77777777" w:rsidR="0069547C" w:rsidRDefault="0069547C" w:rsidP="0069547C">
      <w:pPr>
        <w:rPr>
          <w:rFonts w:ascii="Palatino Linotype" w:hAnsi="Palatino Linotype"/>
          <w:b/>
          <w:color w:val="2F5496"/>
          <w:szCs w:val="24"/>
        </w:rPr>
      </w:pPr>
    </w:p>
    <w:p w14:paraId="635A149A" w14:textId="77777777" w:rsidR="0069547C" w:rsidRPr="00B84D4A" w:rsidRDefault="0069547C" w:rsidP="0069547C">
      <w:pPr>
        <w:rPr>
          <w:rFonts w:ascii="Palatino Linotype" w:hAnsi="Palatino Linotype"/>
          <w:b/>
          <w:color w:val="2F5496"/>
          <w:szCs w:val="24"/>
        </w:rPr>
      </w:pPr>
      <w:r>
        <w:rPr>
          <w:rFonts w:ascii="Palatino Linotype" w:hAnsi="Palatino Linotype"/>
          <w:b/>
          <w:color w:val="2F5496"/>
          <w:szCs w:val="24"/>
        </w:rPr>
        <w:t>Points will be deducted for posts</w:t>
      </w:r>
      <w:r w:rsidRPr="00B84D4A">
        <w:rPr>
          <w:rFonts w:ascii="Palatino Linotype" w:hAnsi="Palatino Linotype"/>
          <w:b/>
          <w:color w:val="2F5496"/>
          <w:szCs w:val="24"/>
        </w:rPr>
        <w:t xml:space="preserve"> that</w:t>
      </w:r>
      <w:r>
        <w:rPr>
          <w:rFonts w:ascii="Palatino Linotype" w:hAnsi="Palatino Linotype"/>
          <w:b/>
          <w:color w:val="2F5496"/>
          <w:szCs w:val="24"/>
        </w:rPr>
        <w:t xml:space="preserve"> do not contain an outside reference (excluding your textbook</w:t>
      </w:r>
      <w:r w:rsidRPr="00B84D4A">
        <w:rPr>
          <w:rFonts w:ascii="Palatino Linotype" w:hAnsi="Palatino Linotype"/>
          <w:b/>
          <w:color w:val="2F5496"/>
          <w:szCs w:val="24"/>
        </w:rPr>
        <w:t xml:space="preserve">) </w:t>
      </w:r>
      <w:r>
        <w:rPr>
          <w:rFonts w:ascii="Palatino Linotype" w:hAnsi="Palatino Linotype"/>
          <w:b/>
          <w:color w:val="2F5496"/>
          <w:szCs w:val="24"/>
        </w:rPr>
        <w:t xml:space="preserve">that is cited both </w:t>
      </w:r>
      <w:r w:rsidRPr="00B84D4A">
        <w:rPr>
          <w:rFonts w:ascii="Palatino Linotype" w:hAnsi="Palatino Linotype"/>
          <w:b/>
          <w:color w:val="2F5496"/>
          <w:szCs w:val="24"/>
        </w:rPr>
        <w:t xml:space="preserve">within-text and </w:t>
      </w:r>
      <w:r>
        <w:rPr>
          <w:rFonts w:ascii="Palatino Linotype" w:hAnsi="Palatino Linotype"/>
          <w:b/>
          <w:color w:val="2F5496"/>
          <w:szCs w:val="24"/>
        </w:rPr>
        <w:t xml:space="preserve">at the end of your </w:t>
      </w:r>
      <w:proofErr w:type="gramStart"/>
      <w:r>
        <w:rPr>
          <w:rFonts w:ascii="Palatino Linotype" w:hAnsi="Palatino Linotype"/>
          <w:b/>
          <w:color w:val="2F5496"/>
          <w:szCs w:val="24"/>
        </w:rPr>
        <w:t>post..</w:t>
      </w:r>
      <w:proofErr w:type="gramEnd"/>
      <w:r w:rsidRPr="00B84D4A">
        <w:rPr>
          <w:rFonts w:ascii="Palatino Linotype" w:hAnsi="Palatino Linotype"/>
          <w:b/>
          <w:color w:val="2F5496"/>
          <w:szCs w:val="24"/>
        </w:rPr>
        <w:t xml:space="preserve">   </w:t>
      </w:r>
      <w:r>
        <w:rPr>
          <w:rFonts w:ascii="Palatino Linotype" w:hAnsi="Palatino Linotype"/>
          <w:b/>
          <w:color w:val="2F5496"/>
          <w:szCs w:val="24"/>
        </w:rPr>
        <w:t xml:space="preserve">Please highlight your citations in yellow as shown below.  While you can use </w:t>
      </w:r>
      <w:r w:rsidRPr="00B84D4A">
        <w:rPr>
          <w:rFonts w:ascii="Palatino Linotype" w:hAnsi="Palatino Linotype"/>
          <w:b/>
          <w:color w:val="2F5496"/>
          <w:szCs w:val="24"/>
        </w:rPr>
        <w:t xml:space="preserve">your textbook to help you construct a discussion, your textbook does not count as an outside source.  You are expected to </w:t>
      </w:r>
      <w:r>
        <w:rPr>
          <w:rFonts w:ascii="Palatino Linotype" w:hAnsi="Palatino Linotype"/>
          <w:b/>
          <w:color w:val="2F5496"/>
          <w:szCs w:val="24"/>
        </w:rPr>
        <w:t>find a new reference to use in your discussion posts.</w:t>
      </w:r>
    </w:p>
    <w:p w14:paraId="11D54857" w14:textId="77777777" w:rsidR="0069547C" w:rsidRPr="00E06F34" w:rsidRDefault="0069547C" w:rsidP="0069547C">
      <w:pPr>
        <w:pStyle w:val="NormalWeb"/>
        <w:spacing w:before="0" w:beforeAutospacing="0" w:after="0" w:afterAutospacing="0"/>
        <w:rPr>
          <w:rFonts w:ascii="Palatino Linotype" w:hAnsi="Palatino Linotype"/>
          <w:b/>
        </w:rPr>
      </w:pPr>
    </w:p>
    <w:p w14:paraId="3E44F6C4" w14:textId="77777777" w:rsidR="0069547C" w:rsidRPr="004663C7" w:rsidRDefault="0069547C" w:rsidP="0069547C">
      <w:pPr>
        <w:spacing w:before="100" w:beforeAutospacing="1"/>
        <w:rPr>
          <w:rFonts w:ascii="Times New Roman" w:eastAsia="Times New Roman" w:hAnsi="Times New Roman"/>
          <w:sz w:val="28"/>
          <w:szCs w:val="28"/>
        </w:rPr>
      </w:pPr>
      <w:r w:rsidRPr="003D26F6">
        <w:rPr>
          <w:rFonts w:ascii="Times New Roman" w:eastAsia="Times New Roman" w:hAnsi="Times New Roman"/>
          <w:b/>
          <w:color w:val="000000"/>
          <w:sz w:val="28"/>
          <w:szCs w:val="28"/>
        </w:rPr>
        <w:t>Sample Post 1</w:t>
      </w:r>
      <w:r>
        <w:rPr>
          <w:rFonts w:ascii="Times New Roman" w:eastAsia="Times New Roman" w:hAnsi="Times New Roman"/>
          <w:b/>
          <w:sz w:val="28"/>
          <w:szCs w:val="28"/>
        </w:rPr>
        <w:t xml:space="preserve"> – </w:t>
      </w:r>
      <w:r w:rsidRPr="004663C7">
        <w:rPr>
          <w:rFonts w:ascii="Times New Roman" w:eastAsia="Times New Roman" w:hAnsi="Times New Roman"/>
          <w:sz w:val="28"/>
          <w:szCs w:val="28"/>
        </w:rPr>
        <w:t>Initial post (Be sure to highlight both the within text and complete bibliographic citations as shown below)</w:t>
      </w:r>
    </w:p>
    <w:p w14:paraId="76BB89C7" w14:textId="77777777" w:rsidR="0069547C" w:rsidRPr="00B9665E" w:rsidRDefault="0069547C" w:rsidP="0069547C">
      <w:pPr>
        <w:rPr>
          <w:rFonts w:ascii="Times New Roman" w:eastAsia="Times New Roman" w:hAnsi="Times New Roman"/>
          <w:szCs w:val="24"/>
        </w:rPr>
      </w:pPr>
      <w:r w:rsidRPr="00B9665E">
        <w:rPr>
          <w:rFonts w:ascii="Times New Roman" w:eastAsia="Times New Roman" w:hAnsi="Times New Roman"/>
          <w:szCs w:val="24"/>
        </w:rPr>
        <w:t xml:space="preserve">According to the Survey of Income and Program Participation (SIPP) data, “approximately 54 million Americans have a disability </w:t>
      </w:r>
      <w:r w:rsidRPr="00B9665E">
        <w:rPr>
          <w:rFonts w:ascii="Times New Roman" w:eastAsia="Times New Roman" w:hAnsi="Times New Roman"/>
          <w:szCs w:val="24"/>
          <w:highlight w:val="yellow"/>
        </w:rPr>
        <w:t>(Brennan, 2015)</w:t>
      </w:r>
      <w:r w:rsidRPr="00B9665E">
        <w:rPr>
          <w:rFonts w:ascii="Times New Roman" w:eastAsia="Times New Roman" w:hAnsi="Times New Roman"/>
          <w:szCs w:val="24"/>
        </w:rPr>
        <w:t>. Due to this high percentage, the Americans with Disabilities Act was created. This act prohibits discrimination based on disabilities in five different areas: employment, state and local government programs, public accommodation, telecommunications, and other miscellaneous like retaliation and attorney fees. Therefore, students with disabilities have every right to pursue an education. With the ADA they are provided equal access through accommodations that meet their disability’s needs. During my first semester in college, I became close friends with Vanessa, a girl who was born with Spina Bifida and was currently diagnosed with ADHD. Being in a wheelchair was already challenging for her, since she had to take public transportation to school. She constantly talked to me about how some public buses did not accommodate her because they would say they “need the space to accommodate more students on the bus”.  In the classroom setting, she was provided with wheelchair accommodations and additional testing time. Due to her ADHD, she struggled concentrating due tests and examinations. It was very hard for her to take an exam in a classroom full of students making noises or standing to ask questions every now and then. Therefore, she was provided with the accommodation of taking the exam at a different time in a quiet classroom located next to the library. At first I didn’t quite understand why would never show up to class on exam days; however, she explained to me how convenient it was for her to sit in a classroom by herself while taking exams. She is very grateful for the opportunity of being able to pursue a college degree in a regular setting.</w:t>
      </w:r>
    </w:p>
    <w:p w14:paraId="13A18990" w14:textId="77777777" w:rsidR="0069547C" w:rsidRPr="003F0461" w:rsidRDefault="0069547C" w:rsidP="0069547C">
      <w:pPr>
        <w:spacing w:after="100" w:afterAutospacing="1"/>
        <w:rPr>
          <w:rFonts w:ascii="Times New Roman" w:eastAsia="Times New Roman" w:hAnsi="Times New Roman"/>
          <w:szCs w:val="24"/>
          <w:highlight w:val="yellow"/>
        </w:rPr>
      </w:pPr>
      <w:r>
        <w:rPr>
          <w:rFonts w:ascii="Times New Roman" w:eastAsia="Times New Roman" w:hAnsi="Times New Roman"/>
          <w:szCs w:val="24"/>
          <w:highlight w:val="yellow"/>
        </w:rPr>
        <w:t xml:space="preserve">Outside reference:  </w:t>
      </w:r>
      <w:r w:rsidRPr="00B9665E">
        <w:rPr>
          <w:rFonts w:ascii="Times New Roman" w:eastAsia="Times New Roman" w:hAnsi="Times New Roman"/>
          <w:szCs w:val="24"/>
          <w:highlight w:val="yellow"/>
        </w:rPr>
        <w:t>Brennan, J. (2015). The ADA national network disability law handbook. </w:t>
      </w:r>
      <w:r w:rsidRPr="00B9665E">
        <w:rPr>
          <w:rFonts w:ascii="Times New Roman" w:eastAsia="Times New Roman" w:hAnsi="Times New Roman"/>
          <w:i/>
          <w:iCs/>
          <w:szCs w:val="24"/>
          <w:highlight w:val="yellow"/>
        </w:rPr>
        <w:t>Southwest ADA Center</w:t>
      </w:r>
      <w:r w:rsidRPr="00B9665E">
        <w:rPr>
          <w:rFonts w:ascii="Times New Roman" w:eastAsia="Times New Roman" w:hAnsi="Times New Roman"/>
          <w:szCs w:val="24"/>
          <w:highlight w:val="yellow"/>
        </w:rPr>
        <w:t>. Retrieved June 6, 2017 from http://adata.org/publication/disability-law-handbook</w:t>
      </w:r>
    </w:p>
    <w:p w14:paraId="37270CF0" w14:textId="77777777" w:rsidR="0069547C" w:rsidRPr="004663C7" w:rsidRDefault="0069547C" w:rsidP="0069547C">
      <w:pPr>
        <w:spacing w:before="100" w:beforeAutospacing="1" w:after="100" w:afterAutospacing="1"/>
        <w:rPr>
          <w:rFonts w:ascii="Times New Roman" w:eastAsia="Times New Roman" w:hAnsi="Times New Roman"/>
          <w:sz w:val="28"/>
          <w:szCs w:val="28"/>
        </w:rPr>
      </w:pPr>
      <w:r w:rsidRPr="003D26F6">
        <w:rPr>
          <w:rFonts w:ascii="Times New Roman" w:eastAsia="Times New Roman" w:hAnsi="Times New Roman"/>
          <w:b/>
          <w:color w:val="000000"/>
          <w:sz w:val="28"/>
          <w:szCs w:val="28"/>
        </w:rPr>
        <w:t>Sample Post 2</w:t>
      </w:r>
      <w:r w:rsidRPr="00E06F34">
        <w:rPr>
          <w:rFonts w:ascii="Times New Roman" w:eastAsia="Times New Roman" w:hAnsi="Times New Roman"/>
          <w:sz w:val="28"/>
          <w:szCs w:val="28"/>
        </w:rPr>
        <w:t xml:space="preserve"> – Response to group member</w:t>
      </w:r>
      <w:r>
        <w:rPr>
          <w:rFonts w:ascii="Times New Roman" w:eastAsia="Times New Roman" w:hAnsi="Times New Roman"/>
          <w:b/>
          <w:sz w:val="28"/>
          <w:szCs w:val="28"/>
        </w:rPr>
        <w:t xml:space="preserve"> </w:t>
      </w:r>
      <w:r w:rsidRPr="004663C7">
        <w:rPr>
          <w:rFonts w:ascii="Times New Roman" w:eastAsia="Times New Roman" w:hAnsi="Times New Roman"/>
          <w:sz w:val="28"/>
          <w:szCs w:val="28"/>
        </w:rPr>
        <w:t>(Be sure to highlight both the within text and complete bibliographic citations as shown below)</w:t>
      </w:r>
    </w:p>
    <w:p w14:paraId="702832CB" w14:textId="77777777" w:rsidR="0069547C" w:rsidRDefault="0069547C" w:rsidP="0069547C">
      <w:pPr>
        <w:rPr>
          <w:rFonts w:ascii="Times New Roman" w:eastAsia="Times New Roman" w:hAnsi="Times New Roman"/>
          <w:b/>
          <w:sz w:val="28"/>
          <w:szCs w:val="28"/>
        </w:rPr>
      </w:pPr>
      <w:proofErr w:type="spellStart"/>
      <w:r>
        <w:rPr>
          <w:rFonts w:ascii="Times New Roman" w:eastAsia="Times New Roman" w:hAnsi="Times New Roman"/>
          <w:szCs w:val="24"/>
        </w:rPr>
        <w:t>JoAnna</w:t>
      </w:r>
      <w:proofErr w:type="spellEnd"/>
      <w:r>
        <w:rPr>
          <w:rFonts w:ascii="Times New Roman" w:eastAsia="Times New Roman" w:hAnsi="Times New Roman"/>
          <w:szCs w:val="24"/>
        </w:rPr>
        <w:t xml:space="preserve">:  </w:t>
      </w:r>
      <w:r w:rsidRPr="00B9665E">
        <w:rPr>
          <w:rFonts w:ascii="Times New Roman" w:eastAsia="Times New Roman" w:hAnsi="Times New Roman"/>
          <w:szCs w:val="24"/>
        </w:rPr>
        <w:t>I truly enjoyed reading your post, as I could relate to it in many different ways. I currently work at a hotel, and I can't stress enough how important it is to have accessible rooms for those with special needs. I used to work at a hotel that didn't have an elevator, which made it really difficult for some people to go up and down the stairs. The one I currently work at has four accessible rooms on each floor with all of the accommodations a person might need. Before I started working here, I never paid much attention to these regulations. We constantly receive guests who request an accessible room, either because they need it to be wheelchair accessible or because they might need the hearing accommodations.  Having elevators out of order, or selling accessible rooms to those who might not need them, can truly affect some guests. As you mentioned in your discussion post, it doesn’t only limit their mobility and accessibility, but it also affects them emotionally. They feel as if they are not accommodated properly, and they need to struggle in order to get their basic needs done. The article</w:t>
      </w:r>
      <w:r w:rsidR="00612521">
        <w:rPr>
          <w:rFonts w:ascii="Times New Roman" w:eastAsia="Times New Roman" w:hAnsi="Times New Roman"/>
          <w:szCs w:val="24"/>
        </w:rPr>
        <w:t xml:space="preserve"> I read from</w:t>
      </w:r>
      <w:r w:rsidRPr="00B9665E">
        <w:rPr>
          <w:rFonts w:ascii="Times New Roman" w:eastAsia="Times New Roman" w:hAnsi="Times New Roman"/>
          <w:szCs w:val="24"/>
        </w:rPr>
        <w:t xml:space="preserve"> the United States Department of Justice provides us with a lot of current and up to date information for lodging facilities. As mentioned in the article, “a difference of a fraction of an inch can pose a serious safety hazard or result in the denial of access for persons with disabilities” </w:t>
      </w:r>
      <w:r w:rsidRPr="00B9665E">
        <w:rPr>
          <w:rFonts w:ascii="Times New Roman" w:eastAsia="Times New Roman" w:hAnsi="Times New Roman"/>
          <w:szCs w:val="24"/>
          <w:highlight w:val="yellow"/>
        </w:rPr>
        <w:t>(ADA Checklist for New Lodging Facilities, 2001, p. 978).</w:t>
      </w:r>
      <w:r w:rsidRPr="00B9665E">
        <w:rPr>
          <w:rFonts w:ascii="Times New Roman" w:eastAsia="Times New Roman" w:hAnsi="Times New Roman"/>
          <w:szCs w:val="24"/>
        </w:rPr>
        <w:t xml:space="preserve"> Therefore, lodging facilities should be very aware of their required accommodations and keep updated with the ADA regulations.</w:t>
      </w:r>
    </w:p>
    <w:p w14:paraId="51318D42" w14:textId="77777777" w:rsidR="0069547C" w:rsidRPr="00C11730" w:rsidRDefault="0069547C" w:rsidP="0069547C">
      <w:pPr>
        <w:rPr>
          <w:rFonts w:ascii="Times New Roman" w:eastAsia="Times New Roman" w:hAnsi="Times New Roman"/>
          <w:b/>
          <w:sz w:val="28"/>
          <w:szCs w:val="28"/>
        </w:rPr>
      </w:pPr>
      <w:r w:rsidRPr="00B9665E">
        <w:rPr>
          <w:rFonts w:ascii="Times New Roman" w:eastAsia="Times New Roman" w:hAnsi="Times New Roman"/>
          <w:szCs w:val="24"/>
          <w:highlight w:val="yellow"/>
        </w:rPr>
        <w:t xml:space="preserve">Outside </w:t>
      </w:r>
      <w:r>
        <w:rPr>
          <w:rFonts w:ascii="Times New Roman" w:eastAsia="Times New Roman" w:hAnsi="Times New Roman"/>
          <w:szCs w:val="24"/>
          <w:highlight w:val="yellow"/>
        </w:rPr>
        <w:t>reference</w:t>
      </w:r>
      <w:r>
        <w:rPr>
          <w:rFonts w:ascii="Times New Roman" w:eastAsia="Times New Roman" w:hAnsi="Times New Roman"/>
          <w:szCs w:val="24"/>
        </w:rPr>
        <w:t xml:space="preserve">:  </w:t>
      </w:r>
      <w:r w:rsidRPr="00B9665E">
        <w:rPr>
          <w:rFonts w:ascii="Times New Roman" w:eastAsia="Times New Roman" w:hAnsi="Times New Roman"/>
          <w:szCs w:val="24"/>
          <w:highlight w:val="yellow"/>
        </w:rPr>
        <w:t>United States Department of Justice. (2001, October 2). ADA Checklist for New Lodging Facilities. Retrieved from https://www.ada.gov/hsurvey.htm#anchor401170</w:t>
      </w:r>
    </w:p>
    <w:p w14:paraId="7504EC06" w14:textId="77777777" w:rsidR="00081137" w:rsidRDefault="00081137"/>
    <w:sectPr w:rsidR="00081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47C"/>
    <w:rsid w:val="00081137"/>
    <w:rsid w:val="00344036"/>
    <w:rsid w:val="00612521"/>
    <w:rsid w:val="0069547C"/>
    <w:rsid w:val="00D75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613DE"/>
  <w15:chartTrackingRefBased/>
  <w15:docId w15:val="{7BE873F9-4FF7-4DA7-969F-E67BC71D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47C"/>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547C"/>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675</Words>
  <Characters>3850</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Lombardino,Linda J</dc:creator>
  <cp:keywords/>
  <dc:description/>
  <cp:lastModifiedBy>Pombrio,Bailey</cp:lastModifiedBy>
  <cp:revision>2</cp:revision>
  <dcterms:created xsi:type="dcterms:W3CDTF">2018-08-27T00:40:00Z</dcterms:created>
  <dcterms:modified xsi:type="dcterms:W3CDTF">2018-08-27T00:40:00Z</dcterms:modified>
</cp:coreProperties>
</file>